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CD" w:rsidRPr="00641ACD" w:rsidRDefault="00641ACD" w:rsidP="00C30163">
      <w:pPr>
        <w:tabs>
          <w:tab w:val="left" w:pos="567"/>
        </w:tabs>
        <w:ind w:firstLine="709"/>
        <w:jc w:val="center"/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641ACD">
        <w:t>Приложение 1</w:t>
      </w:r>
    </w:p>
    <w:p w:rsidR="00641ACD" w:rsidRPr="00641ACD" w:rsidRDefault="00641ACD" w:rsidP="00C30163">
      <w:pPr>
        <w:tabs>
          <w:tab w:val="left" w:pos="567"/>
        </w:tabs>
        <w:ind w:firstLine="709"/>
        <w:jc w:val="center"/>
      </w:pPr>
      <w:r>
        <w:t xml:space="preserve">                                                                                  </w:t>
      </w:r>
      <w:proofErr w:type="gramStart"/>
      <w:r>
        <w:t>к</w:t>
      </w:r>
      <w:proofErr w:type="gramEnd"/>
      <w:r w:rsidRPr="00641ACD">
        <w:t xml:space="preserve"> постановлению главы</w:t>
      </w:r>
    </w:p>
    <w:p w:rsidR="00641ACD" w:rsidRPr="00641ACD" w:rsidRDefault="00641ACD" w:rsidP="00C30163">
      <w:pPr>
        <w:tabs>
          <w:tab w:val="left" w:pos="567"/>
        </w:tabs>
        <w:ind w:firstLine="709"/>
        <w:jc w:val="center"/>
      </w:pPr>
      <w:r>
        <w:t xml:space="preserve">                                                                         </w:t>
      </w:r>
      <w:proofErr w:type="gramStart"/>
      <w:r>
        <w:t>а</w:t>
      </w:r>
      <w:r w:rsidRPr="00641ACD">
        <w:t>дминистрации</w:t>
      </w:r>
      <w:proofErr w:type="gramEnd"/>
      <w:r w:rsidRPr="00641ACD">
        <w:t xml:space="preserve"> </w:t>
      </w:r>
      <w:proofErr w:type="spellStart"/>
      <w:r w:rsidRPr="00641ACD">
        <w:t>Салаирского</w:t>
      </w:r>
      <w:proofErr w:type="spellEnd"/>
      <w:r w:rsidRPr="00641ACD">
        <w:t xml:space="preserve"> </w:t>
      </w:r>
    </w:p>
    <w:p w:rsidR="00641ACD" w:rsidRPr="00641ACD" w:rsidRDefault="00641ACD" w:rsidP="00C30163">
      <w:pPr>
        <w:tabs>
          <w:tab w:val="left" w:pos="567"/>
        </w:tabs>
        <w:ind w:firstLine="709"/>
        <w:jc w:val="center"/>
      </w:pPr>
      <w:r>
        <w:t xml:space="preserve">                                                      </w:t>
      </w:r>
      <w:proofErr w:type="gramStart"/>
      <w:r>
        <w:t>г</w:t>
      </w:r>
      <w:r w:rsidRPr="00641ACD">
        <w:t>ородского</w:t>
      </w:r>
      <w:proofErr w:type="gramEnd"/>
      <w:r w:rsidRPr="00641ACD">
        <w:t xml:space="preserve"> поселения от 31.03.2015. №19</w:t>
      </w:r>
    </w:p>
    <w:p w:rsidR="00641ACD" w:rsidRDefault="00641ACD" w:rsidP="00C30163">
      <w:pPr>
        <w:tabs>
          <w:tab w:val="left" w:pos="567"/>
        </w:tabs>
        <w:ind w:firstLine="709"/>
        <w:jc w:val="center"/>
      </w:pPr>
    </w:p>
    <w:p w:rsidR="00641ACD" w:rsidRPr="00641ACD" w:rsidRDefault="00641ACD" w:rsidP="00C30163">
      <w:pPr>
        <w:tabs>
          <w:tab w:val="left" w:pos="567"/>
        </w:tabs>
        <w:ind w:firstLine="709"/>
        <w:jc w:val="center"/>
        <w:rPr>
          <w:b/>
        </w:rPr>
      </w:pPr>
      <w:r w:rsidRPr="00641ACD">
        <w:rPr>
          <w:b/>
        </w:rPr>
        <w:t>ОТЧЁТ</w:t>
      </w:r>
    </w:p>
    <w:p w:rsidR="00C30163" w:rsidRPr="00641ACD" w:rsidRDefault="00641ACD" w:rsidP="00C30163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bookmarkStart w:id="0" w:name="_GoBack"/>
      <w:bookmarkEnd w:id="0"/>
      <w:r w:rsidRPr="00641ACD">
        <w:rPr>
          <w:b/>
          <w:sz w:val="28"/>
          <w:szCs w:val="28"/>
        </w:rPr>
        <w:t>б</w:t>
      </w:r>
      <w:proofErr w:type="gramEnd"/>
      <w:r w:rsidRPr="00641ACD">
        <w:rPr>
          <w:b/>
          <w:sz w:val="28"/>
          <w:szCs w:val="28"/>
        </w:rPr>
        <w:t xml:space="preserve"> оценке</w:t>
      </w:r>
      <w:r w:rsidR="00C30163" w:rsidRPr="00641ACD">
        <w:rPr>
          <w:b/>
          <w:sz w:val="28"/>
          <w:szCs w:val="28"/>
        </w:rPr>
        <w:t xml:space="preserve"> эффективности предоставляемых </w:t>
      </w:r>
    </w:p>
    <w:p w:rsidR="00C30163" w:rsidRPr="00641ACD" w:rsidRDefault="0060290D" w:rsidP="00C30163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proofErr w:type="gramStart"/>
      <w:r w:rsidRPr="00641ACD">
        <w:rPr>
          <w:b/>
          <w:sz w:val="28"/>
          <w:szCs w:val="28"/>
        </w:rPr>
        <w:t>налоговых</w:t>
      </w:r>
      <w:proofErr w:type="gramEnd"/>
      <w:r w:rsidRPr="00641ACD">
        <w:rPr>
          <w:b/>
          <w:sz w:val="28"/>
          <w:szCs w:val="28"/>
        </w:rPr>
        <w:t xml:space="preserve"> льгот  по </w:t>
      </w:r>
      <w:proofErr w:type="spellStart"/>
      <w:r w:rsidRPr="00641ACD">
        <w:rPr>
          <w:b/>
          <w:sz w:val="28"/>
          <w:szCs w:val="28"/>
        </w:rPr>
        <w:t>Салаирскому</w:t>
      </w:r>
      <w:proofErr w:type="spellEnd"/>
      <w:r w:rsidRPr="00641ACD">
        <w:rPr>
          <w:b/>
          <w:sz w:val="28"/>
          <w:szCs w:val="28"/>
        </w:rPr>
        <w:t xml:space="preserve"> городскому поселению</w:t>
      </w:r>
    </w:p>
    <w:p w:rsidR="0060290D" w:rsidRDefault="0060290D" w:rsidP="00C30163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60290D" w:rsidRPr="00D51872" w:rsidRDefault="0060290D" w:rsidP="0060290D">
      <w:pPr>
        <w:tabs>
          <w:tab w:val="left" w:pos="567"/>
        </w:tabs>
        <w:ind w:firstLine="709"/>
      </w:pPr>
      <w:r w:rsidRPr="00D51872">
        <w:t xml:space="preserve">Основными направлениями налоговой политики Российской Федерации поставлена задача дальнейшего совершенствования мониторинга эффективности налоговых льгот, осуществление которого предполагает анализ применения и востребованности налоговых стимулирующих механизмов в целях их оптимизации. </w:t>
      </w:r>
    </w:p>
    <w:p w:rsidR="0060290D" w:rsidRPr="00D51872" w:rsidRDefault="0060290D" w:rsidP="0060290D">
      <w:pPr>
        <w:tabs>
          <w:tab w:val="left" w:pos="567"/>
        </w:tabs>
        <w:ind w:firstLine="709"/>
      </w:pPr>
      <w:r w:rsidRPr="00D51872">
        <w:t xml:space="preserve">Внедрение данной системы позволяет получить достоверное представление о количестве налогоплательщиков, применяющих те или </w:t>
      </w:r>
      <w:proofErr w:type="gramStart"/>
      <w:r w:rsidRPr="00D51872">
        <w:t>иные  налоговые</w:t>
      </w:r>
      <w:proofErr w:type="gramEnd"/>
      <w:r w:rsidRPr="00D51872">
        <w:t xml:space="preserve"> льготы, а так же суммах, не поступивших в местный бюджет доходов вследствие применения налоговых льгот.</w:t>
      </w:r>
    </w:p>
    <w:p w:rsidR="00C30163" w:rsidRPr="00D51872" w:rsidRDefault="00C30163" w:rsidP="00C30163">
      <w:pPr>
        <w:tabs>
          <w:tab w:val="left" w:pos="567"/>
        </w:tabs>
        <w:ind w:firstLine="709"/>
        <w:jc w:val="center"/>
      </w:pP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Порядок предоставления налоговых льгот регламентируется Налоговым кодексом Российской Федерации (далее - Кодекс) (статья 56), законами субъектов Российской Федерации о налогах, а также нормативными правовыми актами представительных органов муни</w:t>
      </w:r>
      <w:r w:rsidR="00A02A0C" w:rsidRPr="00D51872">
        <w:t xml:space="preserve">ципальных образований о налогах (Постановление №41 от 01.07.2014 года «Об утверждении Порядка оценки бюджетной, социальной и экономической эффективности предоставленных (планируемых к предоставлению) налоговых льгот в </w:t>
      </w:r>
      <w:proofErr w:type="spellStart"/>
      <w:r w:rsidR="00A02A0C" w:rsidRPr="00D51872">
        <w:t>Салаирском</w:t>
      </w:r>
      <w:proofErr w:type="spellEnd"/>
      <w:r w:rsidR="00A02A0C" w:rsidRPr="00D51872">
        <w:t xml:space="preserve"> городском поселении».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Согласно статье 56 Кодекса льготы по местным налогам устанавливаются и отменяются Кодексом и (или) нормативными правовыми актами представительных органов муниципальных образований о налогах.</w:t>
      </w:r>
    </w:p>
    <w:p w:rsidR="00247A75" w:rsidRPr="00D51872" w:rsidRDefault="00247A75" w:rsidP="00C30163">
      <w:pPr>
        <w:tabs>
          <w:tab w:val="left" w:pos="567"/>
        </w:tabs>
        <w:ind w:firstLine="709"/>
        <w:jc w:val="both"/>
      </w:pPr>
      <w:r w:rsidRPr="00D51872">
        <w:t xml:space="preserve">Статья 61.2 Бюджетного кодекса РФ определяет, </w:t>
      </w:r>
      <w:proofErr w:type="gramStart"/>
      <w:r w:rsidRPr="00D51872">
        <w:t>что  в</w:t>
      </w:r>
      <w:proofErr w:type="gramEnd"/>
      <w:r w:rsidRPr="00D51872">
        <w:t xml:space="preserve"> бюджеты городских поселений зачисляются налоговые доходы от местных налогов. А именно:</w:t>
      </w:r>
    </w:p>
    <w:p w:rsidR="00247A75" w:rsidRPr="00D51872" w:rsidRDefault="00247A75" w:rsidP="00C30163">
      <w:pPr>
        <w:tabs>
          <w:tab w:val="left" w:pos="567"/>
        </w:tabs>
        <w:ind w:firstLine="709"/>
        <w:jc w:val="both"/>
      </w:pPr>
      <w:r w:rsidRPr="00D51872">
        <w:t>- земельный налог - по нормативу 100%;</w:t>
      </w:r>
    </w:p>
    <w:p w:rsidR="00247A75" w:rsidRPr="00D51872" w:rsidRDefault="00247A75" w:rsidP="00C30163">
      <w:pPr>
        <w:tabs>
          <w:tab w:val="left" w:pos="567"/>
        </w:tabs>
        <w:ind w:firstLine="709"/>
        <w:jc w:val="both"/>
      </w:pPr>
      <w:r w:rsidRPr="00D51872">
        <w:t>-налог на имущество физических лиц - по нормативу 100%.</w:t>
      </w:r>
    </w:p>
    <w:p w:rsidR="00247A75" w:rsidRPr="00D51872" w:rsidRDefault="00247A75" w:rsidP="00C30163">
      <w:pPr>
        <w:tabs>
          <w:tab w:val="left" w:pos="567"/>
        </w:tabs>
        <w:ind w:firstLine="709"/>
        <w:jc w:val="both"/>
      </w:pPr>
      <w:r w:rsidRPr="00D51872">
        <w:rPr>
          <w:b/>
        </w:rPr>
        <w:t>Оценка эффективности налоговых льгот</w:t>
      </w:r>
      <w:r w:rsidRPr="00D51872">
        <w:t xml:space="preserve"> по местным налогам производиться в целях оптимизации</w:t>
      </w:r>
      <w:r w:rsidR="00474D8F" w:rsidRPr="00D51872">
        <w:t xml:space="preserve">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обеспечение оптимального выбора объектов для предоставления финансовой поддержки в форме налоговых льгот, сокращение потерь бюджета города.</w:t>
      </w:r>
    </w:p>
    <w:p w:rsidR="00474D8F" w:rsidRPr="00D51872" w:rsidRDefault="00474D8F" w:rsidP="00C30163">
      <w:pPr>
        <w:tabs>
          <w:tab w:val="left" w:pos="567"/>
        </w:tabs>
        <w:ind w:firstLine="709"/>
        <w:jc w:val="both"/>
      </w:pPr>
      <w:r w:rsidRPr="00D51872">
        <w:t>Для оценки эффективности налоговых льгот используются следующие критерии:</w:t>
      </w:r>
    </w:p>
    <w:p w:rsidR="00474D8F" w:rsidRPr="00D51872" w:rsidRDefault="00474D8F" w:rsidP="00C30163">
      <w:pPr>
        <w:tabs>
          <w:tab w:val="left" w:pos="567"/>
        </w:tabs>
        <w:ind w:firstLine="709"/>
        <w:jc w:val="both"/>
        <w:rPr>
          <w:b/>
        </w:rPr>
      </w:pPr>
      <w:r w:rsidRPr="00D51872">
        <w:rPr>
          <w:b/>
        </w:rPr>
        <w:t>Бюджетная эффективность налоговых льгот</w:t>
      </w:r>
      <w:r w:rsidRPr="00D51872">
        <w:t>. Под бюджетной эффективностью понимается охранение или повышение темпов роста сумм начислению налога, подлежащего уплате в бюджет города, над темпами роста объёма налоговых льгот.</w:t>
      </w:r>
    </w:p>
    <w:p w:rsidR="00474D8F" w:rsidRPr="00D51872" w:rsidRDefault="00474D8F" w:rsidP="00C30163">
      <w:pPr>
        <w:tabs>
          <w:tab w:val="left" w:pos="567"/>
        </w:tabs>
        <w:ind w:firstLine="709"/>
        <w:jc w:val="both"/>
      </w:pPr>
      <w:r w:rsidRPr="00D51872">
        <w:rPr>
          <w:b/>
        </w:rPr>
        <w:t>Социальная эффективность налоговых льгот.</w:t>
      </w:r>
      <w:r w:rsidRPr="00D51872">
        <w:t xml:space="preserve"> Под социальной эффективностью налоговых льгот понимается социальная значимость дополнительного дохода, получаемого в форме налоговой льготы.</w:t>
      </w:r>
    </w:p>
    <w:p w:rsidR="00474D8F" w:rsidRPr="00D51872" w:rsidRDefault="00474D8F" w:rsidP="00C30163">
      <w:pPr>
        <w:tabs>
          <w:tab w:val="left" w:pos="567"/>
        </w:tabs>
        <w:ind w:firstLine="709"/>
        <w:jc w:val="both"/>
      </w:pPr>
      <w:r w:rsidRPr="00D51872">
        <w:t>Льготы, установленные на местном уровне, по их направленности можно разделить на2 группы:</w:t>
      </w:r>
    </w:p>
    <w:p w:rsidR="00474D8F" w:rsidRPr="00D51872" w:rsidRDefault="00474D8F" w:rsidP="00C30163">
      <w:pPr>
        <w:tabs>
          <w:tab w:val="left" w:pos="567"/>
        </w:tabs>
        <w:ind w:firstLine="709"/>
        <w:jc w:val="both"/>
      </w:pPr>
      <w:r w:rsidRPr="00D51872">
        <w:t>-поддержка социально незащищённых категорий граждан,</w:t>
      </w:r>
    </w:p>
    <w:p w:rsidR="00474D8F" w:rsidRPr="00D51872" w:rsidRDefault="00474D8F" w:rsidP="00C30163">
      <w:pPr>
        <w:tabs>
          <w:tab w:val="left" w:pos="567"/>
        </w:tabs>
        <w:ind w:firstLine="709"/>
        <w:jc w:val="both"/>
      </w:pPr>
      <w:r w:rsidRPr="00D51872">
        <w:t>-минимизация налоговой нагрузки учреждений и предприятий города.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Налоговые правоотношения по вопросам, отнесенным законодательством Российской Федерации о налогах и сборах к ведению муниципа</w:t>
      </w:r>
      <w:r w:rsidR="00A02A0C" w:rsidRPr="00D51872">
        <w:t>льных образований, н</w:t>
      </w:r>
      <w:r w:rsidR="00A256A9" w:rsidRPr="00D51872">
        <w:t xml:space="preserve">а территории </w:t>
      </w:r>
      <w:proofErr w:type="spellStart"/>
      <w:r w:rsidR="00A256A9" w:rsidRPr="00D51872">
        <w:t>Салаирского</w:t>
      </w:r>
      <w:proofErr w:type="spellEnd"/>
      <w:r w:rsidR="00A256A9" w:rsidRPr="00D51872">
        <w:t xml:space="preserve"> городского поселения</w:t>
      </w:r>
      <w:r w:rsidRPr="00D51872">
        <w:t xml:space="preserve"> регулируются Решением </w:t>
      </w:r>
      <w:r w:rsidR="00A256A9" w:rsidRPr="00D51872">
        <w:t xml:space="preserve">Совета народных </w:t>
      </w:r>
      <w:r w:rsidR="00A256A9" w:rsidRPr="00D51872">
        <w:lastRenderedPageBreak/>
        <w:t xml:space="preserve">депутатов </w:t>
      </w:r>
      <w:proofErr w:type="spellStart"/>
      <w:r w:rsidR="00A256A9" w:rsidRPr="00D51872">
        <w:t>Салаирского</w:t>
      </w:r>
      <w:proofErr w:type="spellEnd"/>
      <w:r w:rsidR="00A256A9" w:rsidRPr="00D51872">
        <w:t xml:space="preserve"> городского поселения от 16.12.2010г. г. №25</w:t>
      </w:r>
      <w:r w:rsidR="003F0577" w:rsidRPr="00D51872">
        <w:t xml:space="preserve"> </w:t>
      </w:r>
      <w:r w:rsidR="00A256A9" w:rsidRPr="00D51872">
        <w:t xml:space="preserve">«О земельном налоге», решением Совета народных депутатов </w:t>
      </w:r>
      <w:proofErr w:type="spellStart"/>
      <w:r w:rsidR="00A256A9" w:rsidRPr="00D51872">
        <w:t>Салаирского</w:t>
      </w:r>
      <w:proofErr w:type="spellEnd"/>
      <w:r w:rsidR="00A256A9" w:rsidRPr="00D51872">
        <w:t xml:space="preserve"> городского поселения от 25.11.2010г. №12 «О налоге на имущество физических лиц» с внесёнными</w:t>
      </w:r>
      <w:r w:rsidR="008700EF" w:rsidRPr="00D51872">
        <w:t xml:space="preserve"> </w:t>
      </w:r>
      <w:r w:rsidR="00A256A9" w:rsidRPr="00D51872">
        <w:t>в эти решения изменениями и дополнениями в течение 2011, 2012, 2013 и 2014 годов.</w:t>
      </w:r>
    </w:p>
    <w:p w:rsidR="00C30163" w:rsidRPr="00D51872" w:rsidRDefault="00A256A9" w:rsidP="00C30163">
      <w:pPr>
        <w:tabs>
          <w:tab w:val="left" w:pos="567"/>
        </w:tabs>
        <w:ind w:firstLine="709"/>
        <w:jc w:val="both"/>
      </w:pPr>
      <w:r w:rsidRPr="00D51872">
        <w:t>Решением от 25.11.2010 г. №12</w:t>
      </w:r>
      <w:r w:rsidR="00C30163" w:rsidRPr="00D51872">
        <w:t xml:space="preserve"> пр</w:t>
      </w:r>
      <w:r w:rsidRPr="00D51872">
        <w:t>едусмотрены в 2014</w:t>
      </w:r>
      <w:r w:rsidR="00C30163" w:rsidRPr="00D51872">
        <w:t xml:space="preserve"> году следующие налоговые льготы:</w:t>
      </w:r>
    </w:p>
    <w:p w:rsidR="00C30163" w:rsidRPr="00D51872" w:rsidRDefault="00C30163" w:rsidP="00C30163">
      <w:pPr>
        <w:autoSpaceDE w:val="0"/>
        <w:autoSpaceDN w:val="0"/>
        <w:adjustRightInd w:val="0"/>
        <w:ind w:firstLine="720"/>
        <w:jc w:val="both"/>
      </w:pPr>
      <w:bookmarkStart w:id="1" w:name="sub_191"/>
      <w:r w:rsidRPr="00D51872">
        <w:t>1) в отношении налога на иму</w:t>
      </w:r>
      <w:r w:rsidR="00A02A0C" w:rsidRPr="00D51872">
        <w:t>щество физических лиц (статья 6</w:t>
      </w:r>
      <w:r w:rsidRPr="00D51872">
        <w:t>):</w:t>
      </w:r>
    </w:p>
    <w:p w:rsidR="00C30163" w:rsidRPr="00D51872" w:rsidRDefault="00C30163" w:rsidP="00C30163">
      <w:pPr>
        <w:autoSpaceDE w:val="0"/>
        <w:autoSpaceDN w:val="0"/>
        <w:adjustRightInd w:val="0"/>
        <w:ind w:firstLine="720"/>
        <w:jc w:val="both"/>
      </w:pPr>
      <w:r w:rsidRPr="00D51872">
        <w:t xml:space="preserve">- льготы по уплате налога на имущество физических лиц предоставляются в соответствии со </w:t>
      </w:r>
      <w:hyperlink r:id="rId4" w:history="1">
        <w:r w:rsidRPr="00D51872">
          <w:rPr>
            <w:rStyle w:val="a3"/>
            <w:color w:val="auto"/>
            <w:u w:val="none"/>
          </w:rPr>
          <w:t>статьей 4</w:t>
        </w:r>
      </w:hyperlink>
      <w:r w:rsidRPr="00D51872">
        <w:t xml:space="preserve"> Закона Российской Федерации "О налогах на имущество физических лиц";</w:t>
      </w:r>
    </w:p>
    <w:bookmarkEnd w:id="1"/>
    <w:p w:rsidR="00C30163" w:rsidRPr="00D51872" w:rsidRDefault="00C30163" w:rsidP="00C30163">
      <w:pPr>
        <w:autoSpaceDE w:val="0"/>
        <w:autoSpaceDN w:val="0"/>
        <w:adjustRightInd w:val="0"/>
        <w:ind w:firstLine="720"/>
        <w:jc w:val="both"/>
      </w:pPr>
      <w:r w:rsidRPr="00D51872">
        <w:t>- от уплаты налога освобождаются многодетные семьи, имеющие трех и более несовершеннолетних детей</w:t>
      </w:r>
      <w:r w:rsidR="00FD35E4" w:rsidRPr="00D51872">
        <w:t xml:space="preserve"> в возрасте до 18 лет</w:t>
      </w:r>
      <w:r w:rsidRPr="00D51872">
        <w:t>, в части следующих видов объектов налогоо</w:t>
      </w:r>
      <w:r w:rsidR="00FD35E4" w:rsidRPr="00D51872">
        <w:t>бложения: жилых домов и квартир;</w:t>
      </w:r>
    </w:p>
    <w:p w:rsidR="00FD35E4" w:rsidRPr="00D51872" w:rsidRDefault="00FD35E4" w:rsidP="00C30163">
      <w:pPr>
        <w:autoSpaceDE w:val="0"/>
        <w:autoSpaceDN w:val="0"/>
        <w:adjustRightInd w:val="0"/>
        <w:ind w:firstLine="720"/>
        <w:jc w:val="both"/>
      </w:pPr>
      <w:r w:rsidRPr="00D51872">
        <w:t>-малоимущие семьи имеющие детей инвалидов.</w:t>
      </w:r>
    </w:p>
    <w:p w:rsidR="00554289" w:rsidRPr="00D51872" w:rsidRDefault="00554289" w:rsidP="00C30163">
      <w:pPr>
        <w:autoSpaceDE w:val="0"/>
        <w:autoSpaceDN w:val="0"/>
        <w:adjustRightInd w:val="0"/>
        <w:ind w:firstLine="720"/>
        <w:jc w:val="both"/>
      </w:pPr>
      <w:r w:rsidRPr="00D51872">
        <w:t>Решением №25 от 16.12.2010 года предусмотрены следующие налоговые льготы:</w:t>
      </w:r>
    </w:p>
    <w:p w:rsidR="00C30163" w:rsidRPr="00D51872" w:rsidRDefault="00C30163" w:rsidP="00C30163">
      <w:pPr>
        <w:autoSpaceDE w:val="0"/>
        <w:autoSpaceDN w:val="0"/>
        <w:adjustRightInd w:val="0"/>
        <w:ind w:firstLine="720"/>
        <w:jc w:val="both"/>
      </w:pPr>
      <w:r w:rsidRPr="00D51872">
        <w:t>2) в отноше</w:t>
      </w:r>
      <w:r w:rsidR="00C24456" w:rsidRPr="00D51872">
        <w:t>нии земельного налога (статья 3</w:t>
      </w:r>
      <w:r w:rsidRPr="00D51872">
        <w:t>):</w:t>
      </w:r>
    </w:p>
    <w:p w:rsidR="00C30163" w:rsidRPr="00D51872" w:rsidRDefault="00C30163" w:rsidP="00C30163">
      <w:pPr>
        <w:autoSpaceDE w:val="0"/>
        <w:autoSpaceDN w:val="0"/>
        <w:adjustRightInd w:val="0"/>
        <w:ind w:firstLine="720"/>
        <w:jc w:val="both"/>
      </w:pPr>
      <w:r w:rsidRPr="00D51872">
        <w:t>- установлено,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</w:t>
      </w:r>
      <w:r w:rsidR="00CF7ED5" w:rsidRPr="00D51872">
        <w:t xml:space="preserve">я в пределах границ </w:t>
      </w:r>
      <w:proofErr w:type="spellStart"/>
      <w:r w:rsidR="00CF7ED5" w:rsidRPr="00D51872">
        <w:t>Салаирского</w:t>
      </w:r>
      <w:proofErr w:type="spellEnd"/>
      <w:r w:rsidR="00CF7ED5" w:rsidRPr="00D51872">
        <w:t xml:space="preserve"> городского поселения,</w:t>
      </w:r>
      <w:r w:rsidRPr="00D51872">
        <w:t xml:space="preserve"> льготы, установленные в соответствии со </w:t>
      </w:r>
      <w:hyperlink r:id="rId5" w:history="1">
        <w:r w:rsidRPr="00D51872">
          <w:rPr>
            <w:rStyle w:val="a3"/>
            <w:color w:val="auto"/>
            <w:u w:val="none"/>
          </w:rPr>
          <w:t>статьей 395</w:t>
        </w:r>
      </w:hyperlink>
      <w:r w:rsidRPr="00D51872">
        <w:t xml:space="preserve"> Налогового кодекса Российской Федерации, действуют в полном объеме.</w:t>
      </w:r>
    </w:p>
    <w:p w:rsidR="00C30163" w:rsidRPr="00D51872" w:rsidRDefault="00C24456" w:rsidP="00C30163">
      <w:pPr>
        <w:autoSpaceDE w:val="0"/>
        <w:autoSpaceDN w:val="0"/>
        <w:adjustRightInd w:val="0"/>
        <w:ind w:firstLine="720"/>
        <w:jc w:val="both"/>
      </w:pPr>
      <w:r w:rsidRPr="00D51872">
        <w:t>- согласно статьи 4</w:t>
      </w:r>
      <w:r w:rsidR="00C30163" w:rsidRPr="00D51872">
        <w:t xml:space="preserve"> освобождаются от налогообложения:</w:t>
      </w:r>
    </w:p>
    <w:p w:rsidR="00C30163" w:rsidRPr="00D51872" w:rsidRDefault="00C30163" w:rsidP="00C30163">
      <w:pPr>
        <w:autoSpaceDE w:val="0"/>
        <w:autoSpaceDN w:val="0"/>
        <w:adjustRightInd w:val="0"/>
        <w:ind w:firstLine="1080"/>
        <w:jc w:val="both"/>
      </w:pPr>
      <w:bookmarkStart w:id="2" w:name="sub_221"/>
      <w:proofErr w:type="gramStart"/>
      <w:r w:rsidRPr="00D51872">
        <w:t>а</w:t>
      </w:r>
      <w:proofErr w:type="gramEnd"/>
      <w:r w:rsidRPr="00D51872">
        <w:t>) организации - в отношении</w:t>
      </w:r>
      <w:r w:rsidR="00554289" w:rsidRPr="00D51872">
        <w:t xml:space="preserve"> земельных участков,  одним из основных видов деятельности которых является сбор доходов в местный бюджет, поступающих от сдачи в аренду земельных участков и иного муниципального имущества</w:t>
      </w:r>
      <w:r w:rsidRPr="00D51872">
        <w:t>;</w:t>
      </w:r>
    </w:p>
    <w:p w:rsidR="00C30163" w:rsidRPr="00D51872" w:rsidRDefault="00CF7ED5" w:rsidP="00C30163">
      <w:pPr>
        <w:autoSpaceDE w:val="0"/>
        <w:autoSpaceDN w:val="0"/>
        <w:adjustRightInd w:val="0"/>
        <w:ind w:firstLine="1080"/>
        <w:jc w:val="both"/>
      </w:pPr>
      <w:bookmarkStart w:id="3" w:name="sub_223"/>
      <w:bookmarkEnd w:id="2"/>
      <w:proofErr w:type="gramStart"/>
      <w:r w:rsidRPr="00D51872">
        <w:t>б</w:t>
      </w:r>
      <w:proofErr w:type="gramEnd"/>
      <w:r w:rsidR="00554289" w:rsidRPr="00D51872">
        <w:t xml:space="preserve">) земельных участков органов местного самоуправления, расположенных на территории </w:t>
      </w:r>
      <w:proofErr w:type="spellStart"/>
      <w:r w:rsidR="00554289" w:rsidRPr="00D51872">
        <w:t>Салаирского</w:t>
      </w:r>
      <w:proofErr w:type="spellEnd"/>
      <w:r w:rsidR="00554289" w:rsidRPr="00D51872">
        <w:t xml:space="preserve"> городского поселения;</w:t>
      </w:r>
    </w:p>
    <w:bookmarkEnd w:id="3"/>
    <w:p w:rsidR="00C30163" w:rsidRPr="00D51872" w:rsidRDefault="00CF7ED5" w:rsidP="00C30163">
      <w:pPr>
        <w:autoSpaceDE w:val="0"/>
        <w:autoSpaceDN w:val="0"/>
        <w:adjustRightInd w:val="0"/>
        <w:ind w:firstLine="1080"/>
        <w:jc w:val="both"/>
      </w:pPr>
      <w:proofErr w:type="gramStart"/>
      <w:r w:rsidRPr="00D51872">
        <w:t>в</w:t>
      </w:r>
      <w:proofErr w:type="gramEnd"/>
      <w:r w:rsidR="00554289" w:rsidRPr="00D51872">
        <w:t>) земельных участков, занятых автомобильными дорогами общего пользования,</w:t>
      </w:r>
    </w:p>
    <w:p w:rsidR="00554289" w:rsidRPr="00D51872" w:rsidRDefault="00554289" w:rsidP="00C30163">
      <w:pPr>
        <w:autoSpaceDE w:val="0"/>
        <w:autoSpaceDN w:val="0"/>
        <w:adjustRightInd w:val="0"/>
        <w:ind w:firstLine="1080"/>
        <w:jc w:val="both"/>
      </w:pPr>
      <w:proofErr w:type="gramStart"/>
      <w:r w:rsidRPr="00D51872">
        <w:t>г</w:t>
      </w:r>
      <w:proofErr w:type="gramEnd"/>
      <w:r w:rsidRPr="00D51872">
        <w:t>) земельных участков учреждений искусства, образования, здравоохранения,</w:t>
      </w:r>
    </w:p>
    <w:p w:rsidR="00554289" w:rsidRPr="00D51872" w:rsidRDefault="00554289" w:rsidP="00C30163">
      <w:pPr>
        <w:autoSpaceDE w:val="0"/>
        <w:autoSpaceDN w:val="0"/>
        <w:adjustRightInd w:val="0"/>
        <w:ind w:firstLine="1080"/>
        <w:jc w:val="both"/>
      </w:pPr>
      <w:proofErr w:type="gramStart"/>
      <w:r w:rsidRPr="00D51872">
        <w:t>д</w:t>
      </w:r>
      <w:proofErr w:type="gramEnd"/>
      <w:r w:rsidRPr="00D51872">
        <w:t>) земельных участков</w:t>
      </w:r>
      <w:r w:rsidR="00403AF3" w:rsidRPr="00D51872">
        <w:t xml:space="preserve"> учреждений культуры, физической культуры и спорта, соцзащиты и соцобеспечения,</w:t>
      </w:r>
    </w:p>
    <w:p w:rsidR="00403AF3" w:rsidRPr="00D51872" w:rsidRDefault="00403AF3" w:rsidP="00C30163">
      <w:pPr>
        <w:autoSpaceDE w:val="0"/>
        <w:autoSpaceDN w:val="0"/>
        <w:adjustRightInd w:val="0"/>
        <w:ind w:firstLine="1080"/>
        <w:jc w:val="both"/>
      </w:pPr>
      <w:proofErr w:type="gramStart"/>
      <w:r w:rsidRPr="00D51872">
        <w:t>е</w:t>
      </w:r>
      <w:proofErr w:type="gramEnd"/>
      <w:r w:rsidRPr="00D51872">
        <w:t>) лица, имеющие 3-х и более совместно проживающих несовершеннолетних детей, дети – сироты до совершеннолетнего возраста,</w:t>
      </w:r>
    </w:p>
    <w:p w:rsidR="00403AF3" w:rsidRPr="00D51872" w:rsidRDefault="00403AF3" w:rsidP="00C30163">
      <w:pPr>
        <w:autoSpaceDE w:val="0"/>
        <w:autoSpaceDN w:val="0"/>
        <w:adjustRightInd w:val="0"/>
        <w:ind w:firstLine="1080"/>
        <w:jc w:val="both"/>
      </w:pPr>
      <w:proofErr w:type="gramStart"/>
      <w:r w:rsidRPr="00D51872">
        <w:t>ж</w:t>
      </w:r>
      <w:proofErr w:type="gramEnd"/>
      <w:r w:rsidRPr="00D51872">
        <w:t>) лица, имеющие почётное звание РФ  в соответствии с Указом Президента РФ от 31.12.1995 года №1341,</w:t>
      </w:r>
    </w:p>
    <w:p w:rsidR="00403AF3" w:rsidRPr="00D51872" w:rsidRDefault="00403AF3" w:rsidP="00C30163">
      <w:pPr>
        <w:autoSpaceDE w:val="0"/>
        <w:autoSpaceDN w:val="0"/>
        <w:adjustRightInd w:val="0"/>
        <w:ind w:firstLine="1080"/>
        <w:jc w:val="both"/>
      </w:pPr>
      <w:proofErr w:type="gramStart"/>
      <w:r w:rsidRPr="00D51872">
        <w:t>з)  пенсионеры</w:t>
      </w:r>
      <w:proofErr w:type="gramEnd"/>
      <w:r w:rsidRPr="00D51872">
        <w:t xml:space="preserve"> по возрасту (мужчины 60, женщины 55), имеющие садовые участки на территории </w:t>
      </w:r>
      <w:proofErr w:type="spellStart"/>
      <w:r w:rsidRPr="00D51872">
        <w:t>Салаирского</w:t>
      </w:r>
      <w:proofErr w:type="spellEnd"/>
      <w:r w:rsidRPr="00D51872">
        <w:t xml:space="preserve"> городского поселения, </w:t>
      </w:r>
    </w:p>
    <w:p w:rsidR="00247A75" w:rsidRPr="00D51872" w:rsidRDefault="00247A75" w:rsidP="00C30163">
      <w:pPr>
        <w:autoSpaceDE w:val="0"/>
        <w:autoSpaceDN w:val="0"/>
        <w:adjustRightInd w:val="0"/>
        <w:ind w:firstLine="1080"/>
        <w:jc w:val="both"/>
      </w:pPr>
      <w:proofErr w:type="gramStart"/>
      <w:r w:rsidRPr="00D51872">
        <w:t>и</w:t>
      </w:r>
      <w:proofErr w:type="gramEnd"/>
      <w:r w:rsidRPr="00D51872">
        <w:t xml:space="preserve">) ветераны и инвалиды ВОВ, ветераны и инвалиды боевых действий, лица имеющие 1 и 2 группу инвалидности, инвалиды с детства, пенсионеры по возрасту (мужчины 60 лет, женщины 55 лет), председатели уличных и домовых комитетов на 50% при  наличии утверждённого главой </w:t>
      </w:r>
      <w:proofErr w:type="spellStart"/>
      <w:r w:rsidRPr="00D51872">
        <w:t>Салаирского</w:t>
      </w:r>
      <w:proofErr w:type="spellEnd"/>
      <w:r w:rsidRPr="00D51872">
        <w:t xml:space="preserve"> городского поселения списка.</w:t>
      </w:r>
    </w:p>
    <w:p w:rsidR="00554289" w:rsidRPr="00D51872" w:rsidRDefault="00554289" w:rsidP="00C30163">
      <w:pPr>
        <w:autoSpaceDE w:val="0"/>
        <w:autoSpaceDN w:val="0"/>
        <w:adjustRightInd w:val="0"/>
        <w:ind w:firstLine="1080"/>
        <w:jc w:val="both"/>
      </w:pP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Согласно положениям Кодекса (статья 80) налоговая льгота заявляется налогоплательщиком посредством предоставления им в налоговый орган по месту постановки на учет налоговой декларации (расчета авансового платежа).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Оценк</w:t>
      </w:r>
      <w:r w:rsidR="00CF7ED5" w:rsidRPr="00D51872">
        <w:t>а объемов предоставленных в 2014</w:t>
      </w:r>
      <w:r w:rsidRPr="00D51872">
        <w:t xml:space="preserve"> году налоговых льгот в соответствии с пол</w:t>
      </w:r>
      <w:r w:rsidR="00CF7ED5" w:rsidRPr="00D51872">
        <w:t xml:space="preserve">номочиями </w:t>
      </w:r>
      <w:proofErr w:type="spellStart"/>
      <w:r w:rsidR="00CF7ED5" w:rsidRPr="00D51872">
        <w:t>Салаирского</w:t>
      </w:r>
      <w:proofErr w:type="spellEnd"/>
      <w:r w:rsidR="00CF7ED5" w:rsidRPr="00D51872">
        <w:t xml:space="preserve"> городского поселения</w:t>
      </w:r>
      <w:r w:rsidRPr="00D51872">
        <w:t xml:space="preserve"> в данной области, </w:t>
      </w:r>
      <w:proofErr w:type="gramStart"/>
      <w:r w:rsidRPr="00D51872">
        <w:t xml:space="preserve">их </w:t>
      </w:r>
      <w:r w:rsidR="00630DB9" w:rsidRPr="00D51872">
        <w:t xml:space="preserve"> бюджетной</w:t>
      </w:r>
      <w:proofErr w:type="gramEnd"/>
      <w:r w:rsidR="00630DB9" w:rsidRPr="00D51872">
        <w:t>, социальной и</w:t>
      </w:r>
      <w:r w:rsidRPr="00D51872">
        <w:t xml:space="preserve"> экономической эффективности произведена на основании данных форм статистической налоговой отчетности, утвержденных приказами ФНС России: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- формы № 5-МН «Отчет о налоговой базе и структуре начис</w:t>
      </w:r>
      <w:r w:rsidR="00C24456" w:rsidRPr="00D51872">
        <w:t>лений по местным налогам за 2013</w:t>
      </w:r>
      <w:r w:rsidRPr="00D51872">
        <w:t xml:space="preserve"> год»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lastRenderedPageBreak/>
        <w:t>Общая сумма предоставленных в соответствии с</w:t>
      </w:r>
      <w:r w:rsidR="003F0577" w:rsidRPr="00D51872">
        <w:t xml:space="preserve"> Решением от 16.12.2010г. №25 «О земельном налоге»,</w:t>
      </w:r>
      <w:r w:rsidRPr="00D51872">
        <w:t xml:space="preserve"> налоговых льгот по налогам, подлежащим зачислению</w:t>
      </w:r>
      <w:r w:rsidR="00CF7ED5" w:rsidRPr="00D51872">
        <w:t xml:space="preserve"> в </w:t>
      </w:r>
      <w:proofErr w:type="gramStart"/>
      <w:r w:rsidR="00CF7ED5" w:rsidRPr="00D51872">
        <w:t xml:space="preserve">бюджет  </w:t>
      </w:r>
      <w:proofErr w:type="spellStart"/>
      <w:r w:rsidR="00CF7ED5" w:rsidRPr="00D51872">
        <w:t>Салаирского</w:t>
      </w:r>
      <w:proofErr w:type="spellEnd"/>
      <w:proofErr w:type="gramEnd"/>
      <w:r w:rsidR="00CF7ED5" w:rsidRPr="00D51872">
        <w:t xml:space="preserve"> городского поселения</w:t>
      </w:r>
      <w:r w:rsidR="003F0577" w:rsidRPr="00D51872">
        <w:t>, в 2014</w:t>
      </w:r>
      <w:r w:rsidR="00C24456" w:rsidRPr="00D51872">
        <w:t xml:space="preserve"> году составила  1 725</w:t>
      </w:r>
      <w:r w:rsidRPr="00D51872">
        <w:t>,0 тыс. рублей, проти</w:t>
      </w:r>
      <w:r w:rsidR="00C24456" w:rsidRPr="00D51872">
        <w:t>в  1 886</w:t>
      </w:r>
      <w:r w:rsidR="003F0577" w:rsidRPr="00D51872">
        <w:t>,0  тыс. рублей  в 2013</w:t>
      </w:r>
      <w:r w:rsidR="00C24456" w:rsidRPr="00D51872">
        <w:t xml:space="preserve"> году, или меньше на 161</w:t>
      </w:r>
      <w:r w:rsidRPr="00D51872">
        <w:t>,0 тыс. рублей. Сниже</w:t>
      </w:r>
      <w:r w:rsidR="003F0577" w:rsidRPr="00D51872">
        <w:t>ние суммы предоставленных в 2014</w:t>
      </w:r>
      <w:r w:rsidRPr="00D51872">
        <w:t xml:space="preserve"> году налоговых льгот произошло в основном по земельному налогу </w:t>
      </w:r>
      <w:r w:rsidR="001614A4" w:rsidRPr="00D51872">
        <w:t>поступающему от юридических лиц.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 xml:space="preserve"> </w:t>
      </w:r>
    </w:p>
    <w:p w:rsidR="00C30163" w:rsidRPr="00D51872" w:rsidRDefault="00C30163" w:rsidP="00C30163">
      <w:pPr>
        <w:tabs>
          <w:tab w:val="left" w:pos="567"/>
        </w:tabs>
        <w:ind w:firstLine="709"/>
        <w:jc w:val="center"/>
        <w:rPr>
          <w:b/>
        </w:rPr>
      </w:pPr>
      <w:r w:rsidRPr="00D51872">
        <w:rPr>
          <w:b/>
        </w:rPr>
        <w:t>Земельный налог</w:t>
      </w:r>
    </w:p>
    <w:p w:rsidR="00C30163" w:rsidRPr="00D51872" w:rsidRDefault="00C30163" w:rsidP="00C30163">
      <w:pPr>
        <w:tabs>
          <w:tab w:val="left" w:pos="567"/>
        </w:tabs>
        <w:ind w:firstLine="709"/>
        <w:jc w:val="right"/>
      </w:pPr>
      <w:r w:rsidRPr="00D51872">
        <w:t>(</w:t>
      </w:r>
      <w:proofErr w:type="gramStart"/>
      <w:r w:rsidRPr="00D51872">
        <w:t>рублей</w:t>
      </w:r>
      <w:proofErr w:type="gramEnd"/>
      <w:r w:rsidRPr="00D51872">
        <w:t>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74"/>
        <w:gridCol w:w="1674"/>
      </w:tblGrid>
      <w:tr w:rsidR="00C30163" w:rsidRPr="00D51872" w:rsidTr="00C301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30163">
            <w:pPr>
              <w:tabs>
                <w:tab w:val="left" w:pos="567"/>
              </w:tabs>
              <w:jc w:val="center"/>
            </w:pPr>
            <w:r w:rsidRPr="00D51872"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3606AC">
            <w:pPr>
              <w:tabs>
                <w:tab w:val="left" w:pos="567"/>
              </w:tabs>
              <w:jc w:val="center"/>
            </w:pPr>
            <w:r w:rsidRPr="00D51872">
              <w:t>2013</w:t>
            </w:r>
            <w:r w:rsidR="00C30163" w:rsidRPr="00D51872">
              <w:t xml:space="preserve"> 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3606AC">
            <w:pPr>
              <w:tabs>
                <w:tab w:val="left" w:pos="567"/>
              </w:tabs>
              <w:jc w:val="center"/>
            </w:pPr>
            <w:r w:rsidRPr="00D51872">
              <w:t>2014</w:t>
            </w:r>
            <w:r w:rsidR="00C30163" w:rsidRPr="00D51872">
              <w:t xml:space="preserve"> г.</w:t>
            </w:r>
          </w:p>
        </w:tc>
      </w:tr>
      <w:tr w:rsidR="00C30163" w:rsidRPr="00D51872" w:rsidTr="00C301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30163">
            <w:pPr>
              <w:tabs>
                <w:tab w:val="left" w:pos="567"/>
              </w:tabs>
              <w:jc w:val="both"/>
            </w:pPr>
            <w:r w:rsidRPr="00D51872">
              <w:t>Сумма налога, не поступившая в бюджет в связи с предоставлением налогоплательщикам льгот по налогу – всего, в том числе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24456">
            <w:pPr>
              <w:tabs>
                <w:tab w:val="left" w:pos="567"/>
              </w:tabs>
              <w:jc w:val="center"/>
            </w:pPr>
            <w:r w:rsidRPr="00D51872">
              <w:t>1 886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24456">
            <w:pPr>
              <w:tabs>
                <w:tab w:val="left" w:pos="567"/>
              </w:tabs>
              <w:jc w:val="center"/>
            </w:pPr>
            <w:r w:rsidRPr="00D51872">
              <w:t>1 725</w:t>
            </w:r>
          </w:p>
        </w:tc>
      </w:tr>
      <w:tr w:rsidR="00C30163" w:rsidRPr="00D51872" w:rsidTr="00C301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30163">
            <w:pPr>
              <w:tabs>
                <w:tab w:val="left" w:pos="567"/>
              </w:tabs>
              <w:jc w:val="both"/>
            </w:pPr>
            <w:r w:rsidRPr="00D51872">
              <w:t>- по льготам, установленным п. 5 ст. 391 НК РФ, ст. 395 НК РФ;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24456">
            <w:pPr>
              <w:tabs>
                <w:tab w:val="left" w:pos="567"/>
              </w:tabs>
              <w:jc w:val="center"/>
            </w:pPr>
            <w:r w:rsidRPr="00D51872">
              <w:t>1 165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24456">
            <w:pPr>
              <w:tabs>
                <w:tab w:val="left" w:pos="567"/>
              </w:tabs>
              <w:jc w:val="center"/>
            </w:pPr>
            <w:r w:rsidRPr="00D51872">
              <w:t>1 004</w:t>
            </w:r>
          </w:p>
        </w:tc>
      </w:tr>
      <w:tr w:rsidR="00C30163" w:rsidRPr="00D51872" w:rsidTr="00C301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30163">
            <w:pPr>
              <w:tabs>
                <w:tab w:val="left" w:pos="567"/>
              </w:tabs>
              <w:jc w:val="both"/>
            </w:pPr>
            <w:r w:rsidRPr="00D51872">
              <w:t xml:space="preserve">- по льготам установленным в соответствии с п.2 ст.387 НК РФ, </w:t>
            </w:r>
            <w:r w:rsidR="003606AC" w:rsidRPr="00D51872">
              <w:t>Решением 16.12.2010г. №25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63" w:rsidRPr="00D51872" w:rsidRDefault="00C24456" w:rsidP="00225E35">
            <w:pPr>
              <w:tabs>
                <w:tab w:val="left" w:pos="567"/>
              </w:tabs>
              <w:jc w:val="center"/>
            </w:pPr>
            <w:r w:rsidRPr="00D51872">
              <w:t>721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24456">
            <w:pPr>
              <w:tabs>
                <w:tab w:val="left" w:pos="567"/>
              </w:tabs>
              <w:jc w:val="center"/>
            </w:pPr>
            <w:r w:rsidRPr="00D51872">
              <w:t>721</w:t>
            </w:r>
          </w:p>
        </w:tc>
      </w:tr>
      <w:tr w:rsidR="00C24456" w:rsidRPr="00D51872" w:rsidTr="00C301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6" w:rsidRPr="00D51872" w:rsidRDefault="00C24456">
            <w:pPr>
              <w:tabs>
                <w:tab w:val="left" w:pos="567"/>
              </w:tabs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6" w:rsidRPr="00D51872" w:rsidRDefault="00C24456" w:rsidP="00225E35">
            <w:pPr>
              <w:tabs>
                <w:tab w:val="left" w:pos="567"/>
              </w:tabs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56" w:rsidRPr="00D51872" w:rsidRDefault="00C24456">
            <w:pPr>
              <w:tabs>
                <w:tab w:val="left" w:pos="567"/>
              </w:tabs>
              <w:jc w:val="center"/>
            </w:pPr>
          </w:p>
        </w:tc>
      </w:tr>
    </w:tbl>
    <w:p w:rsidR="00C24456" w:rsidRPr="00D51872" w:rsidRDefault="00C24456" w:rsidP="00C30163">
      <w:pPr>
        <w:tabs>
          <w:tab w:val="left" w:pos="567"/>
        </w:tabs>
        <w:ind w:firstLine="709"/>
        <w:jc w:val="both"/>
      </w:pP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Доля земельного налога от об</w:t>
      </w:r>
      <w:r w:rsidR="003F0577" w:rsidRPr="00D51872">
        <w:t>щей суммы предоставленных в 2014</w:t>
      </w:r>
      <w:r w:rsidRPr="00D51872">
        <w:t xml:space="preserve"> год</w:t>
      </w:r>
      <w:r w:rsidR="001614A4" w:rsidRPr="00D51872">
        <w:t xml:space="preserve">у налоговых льгот </w:t>
      </w:r>
      <w:proofErr w:type="gramStart"/>
      <w:r w:rsidR="001614A4" w:rsidRPr="00D51872">
        <w:t>составила  62</w:t>
      </w:r>
      <w:proofErr w:type="gramEnd"/>
      <w:r w:rsidRPr="00D51872">
        <w:t xml:space="preserve"> % или</w:t>
      </w:r>
      <w:r w:rsidR="003F0577" w:rsidRPr="00D51872">
        <w:t xml:space="preserve"> уменьшилась по сравнению с 2013</w:t>
      </w:r>
      <w:r w:rsidR="00C24456" w:rsidRPr="00D51872">
        <w:t xml:space="preserve"> годом на 161,0</w:t>
      </w:r>
      <w:r w:rsidRPr="00D51872">
        <w:t xml:space="preserve"> рублей. Снижение связано с уменьшением налогоплательщиков по земельному налогу от юри</w:t>
      </w:r>
      <w:r w:rsidR="00C24456" w:rsidRPr="00D51872">
        <w:t>дических лиц с 3 единиц за 2013 год на 2</w:t>
      </w:r>
      <w:r w:rsidR="003F0577" w:rsidRPr="00D51872">
        <w:t xml:space="preserve"> единиц за 2014</w:t>
      </w:r>
      <w:r w:rsidRPr="00D51872">
        <w:t xml:space="preserve"> год, что в сумм</w:t>
      </w:r>
      <w:r w:rsidR="0068114E" w:rsidRPr="00D51872">
        <w:t xml:space="preserve">арном выражении </w:t>
      </w:r>
      <w:proofErr w:type="gramStart"/>
      <w:r w:rsidR="0068114E" w:rsidRPr="00D51872">
        <w:t>составило  1</w:t>
      </w:r>
      <w:proofErr w:type="gramEnd"/>
      <w:r w:rsidR="0068114E" w:rsidRPr="00D51872">
        <w:t xml:space="preserve"> 725 рублей против  1 886</w:t>
      </w:r>
      <w:r w:rsidRPr="00D51872">
        <w:t xml:space="preserve"> рублей соответственно.</w:t>
      </w:r>
    </w:p>
    <w:p w:rsidR="00090799" w:rsidRPr="00D51872" w:rsidRDefault="00090799" w:rsidP="00C30163">
      <w:pPr>
        <w:tabs>
          <w:tab w:val="left" w:pos="567"/>
        </w:tabs>
        <w:ind w:firstLine="709"/>
        <w:jc w:val="both"/>
      </w:pPr>
      <w:r w:rsidRPr="00D51872">
        <w:t xml:space="preserve">Льготы по земельному налогу для юридических лиц установлены для сохранения социальной стабильности на территории поселения, а за счёт средств от применения налоговых льгот повышается заработная плата работников бюджетной сферы, повышается уровень жизни населения.  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По земельному налогу от физич</w:t>
      </w:r>
      <w:r w:rsidR="0068114E" w:rsidRPr="00D51872">
        <w:t>еских лиц наблюдается рост на 29</w:t>
      </w:r>
      <w:r w:rsidRPr="00D51872">
        <w:t xml:space="preserve"> единиц налогоплательщиков которым предоставлены льго</w:t>
      </w:r>
      <w:r w:rsidR="0068114E" w:rsidRPr="00D51872">
        <w:t>ты по налогу с 638 единиц в 2013 году до 667</w:t>
      </w:r>
      <w:r w:rsidR="003F0577" w:rsidRPr="00D51872">
        <w:t xml:space="preserve"> единиц в 2014</w:t>
      </w:r>
      <w:r w:rsidR="00ED133A">
        <w:t xml:space="preserve"> году, </w:t>
      </w:r>
      <w:proofErr w:type="gramStart"/>
      <w:r w:rsidR="00ED133A">
        <w:t>или  в</w:t>
      </w:r>
      <w:proofErr w:type="gramEnd"/>
      <w:r w:rsidR="00ED133A">
        <w:t xml:space="preserve"> денежном выражении </w:t>
      </w:r>
      <w:r w:rsidR="0068114E" w:rsidRPr="00D51872">
        <w:t xml:space="preserve"> с 62</w:t>
      </w:r>
      <w:r w:rsidR="00D51872">
        <w:t xml:space="preserve"> </w:t>
      </w:r>
      <w:r w:rsidR="0068114E" w:rsidRPr="00D51872">
        <w:t>рублей за 2013 год до 65</w:t>
      </w:r>
      <w:r w:rsidR="00D51872">
        <w:t xml:space="preserve"> </w:t>
      </w:r>
      <w:r w:rsidR="003F0577" w:rsidRPr="00D51872">
        <w:t>рублей за 2014</w:t>
      </w:r>
      <w:r w:rsidRPr="00D51872">
        <w:t xml:space="preserve"> год.</w:t>
      </w:r>
    </w:p>
    <w:p w:rsidR="00DC72EC" w:rsidRPr="00D51872" w:rsidRDefault="00DC72EC" w:rsidP="00C30163">
      <w:pPr>
        <w:tabs>
          <w:tab w:val="left" w:pos="567"/>
        </w:tabs>
        <w:ind w:firstLine="709"/>
        <w:jc w:val="both"/>
      </w:pPr>
      <w:r w:rsidRPr="00D51872">
        <w:t>Поскольку льготы по земельному налогу установлены для обеспечения социальной защиты категории физи</w:t>
      </w:r>
      <w:r w:rsidR="0069334B" w:rsidRPr="00D51872">
        <w:t xml:space="preserve">ческих лиц, показатель эффективности использования налоговой льготы, равен величине потерь бюджета </w:t>
      </w:r>
      <w:proofErr w:type="spellStart"/>
      <w:r w:rsidR="0069334B" w:rsidRPr="00D51872">
        <w:t>Салаирского</w:t>
      </w:r>
      <w:proofErr w:type="spellEnd"/>
      <w:r w:rsidR="0069334B" w:rsidRPr="00D51872">
        <w:t xml:space="preserve"> городского поселения, обусловленных её применением, что свидетельствует об эффективности её применения.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</w:p>
    <w:p w:rsidR="008700EF" w:rsidRPr="00D51872" w:rsidRDefault="008700EF" w:rsidP="00C30163">
      <w:pPr>
        <w:tabs>
          <w:tab w:val="left" w:pos="567"/>
        </w:tabs>
        <w:ind w:firstLine="709"/>
        <w:jc w:val="both"/>
      </w:pPr>
    </w:p>
    <w:p w:rsidR="00C30163" w:rsidRPr="00D51872" w:rsidRDefault="00C30163" w:rsidP="00C30163">
      <w:pPr>
        <w:tabs>
          <w:tab w:val="left" w:pos="567"/>
        </w:tabs>
        <w:ind w:firstLine="709"/>
        <w:jc w:val="center"/>
        <w:rPr>
          <w:b/>
        </w:rPr>
      </w:pPr>
      <w:r w:rsidRPr="00D51872">
        <w:rPr>
          <w:b/>
        </w:rPr>
        <w:t>Налог на имущество физических лиц</w:t>
      </w:r>
    </w:p>
    <w:p w:rsidR="00C30163" w:rsidRPr="00D51872" w:rsidRDefault="00C30163" w:rsidP="00C30163">
      <w:pPr>
        <w:tabs>
          <w:tab w:val="left" w:pos="567"/>
        </w:tabs>
        <w:ind w:firstLine="709"/>
        <w:jc w:val="right"/>
      </w:pPr>
      <w:r w:rsidRPr="00D51872">
        <w:t>(</w:t>
      </w:r>
      <w:proofErr w:type="gramStart"/>
      <w:r w:rsidRPr="00D51872">
        <w:t>рублей</w:t>
      </w:r>
      <w:proofErr w:type="gramEnd"/>
      <w:r w:rsidRPr="00D51872">
        <w:t>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74"/>
        <w:gridCol w:w="1674"/>
      </w:tblGrid>
      <w:tr w:rsidR="00C30163" w:rsidRPr="00D51872" w:rsidTr="00C301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30163">
            <w:pPr>
              <w:tabs>
                <w:tab w:val="left" w:pos="567"/>
              </w:tabs>
              <w:jc w:val="center"/>
            </w:pPr>
            <w:r w:rsidRPr="00D51872"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921BFB">
            <w:pPr>
              <w:tabs>
                <w:tab w:val="left" w:pos="567"/>
              </w:tabs>
              <w:jc w:val="center"/>
            </w:pPr>
            <w:r w:rsidRPr="00D51872">
              <w:t>2012</w:t>
            </w:r>
            <w:r w:rsidR="00C30163" w:rsidRPr="00D51872">
              <w:t xml:space="preserve">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921BFB">
            <w:pPr>
              <w:tabs>
                <w:tab w:val="left" w:pos="567"/>
              </w:tabs>
              <w:jc w:val="center"/>
            </w:pPr>
            <w:r w:rsidRPr="00D51872">
              <w:t>2013</w:t>
            </w:r>
            <w:r w:rsidR="00C30163" w:rsidRPr="00D51872">
              <w:t xml:space="preserve"> год</w:t>
            </w:r>
          </w:p>
        </w:tc>
      </w:tr>
      <w:tr w:rsidR="00C30163" w:rsidRPr="00D51872" w:rsidTr="00C301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30163">
            <w:pPr>
              <w:tabs>
                <w:tab w:val="left" w:pos="567"/>
              </w:tabs>
              <w:jc w:val="both"/>
            </w:pPr>
            <w:r w:rsidRPr="00D51872">
              <w:t>Сумма налога, не поступившая в бюджет в связи с предоставлением налогоплательщикам льгот по налогу – всего, из них: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630DB9">
            <w:pPr>
              <w:tabs>
                <w:tab w:val="left" w:pos="567"/>
              </w:tabs>
              <w:jc w:val="center"/>
            </w:pPr>
            <w:r w:rsidRPr="00D51872">
              <w:t>263</w:t>
            </w:r>
            <w:r w:rsidR="00C30163" w:rsidRPr="00D51872">
              <w:t>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921BFB">
            <w:pPr>
              <w:tabs>
                <w:tab w:val="left" w:pos="567"/>
              </w:tabs>
              <w:jc w:val="center"/>
            </w:pPr>
            <w:r w:rsidRPr="00D51872">
              <w:t>279</w:t>
            </w:r>
            <w:r w:rsidR="00C30163" w:rsidRPr="00D51872">
              <w:t>,0</w:t>
            </w:r>
          </w:p>
        </w:tc>
      </w:tr>
      <w:tr w:rsidR="00C30163" w:rsidRPr="00D51872" w:rsidTr="00C30163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C30163">
            <w:pPr>
              <w:tabs>
                <w:tab w:val="left" w:pos="567"/>
              </w:tabs>
              <w:jc w:val="both"/>
            </w:pPr>
            <w:r w:rsidRPr="00D51872">
              <w:t>- льгот, установленных федеральным законодательством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630DB9" w:rsidP="00921BFB">
            <w:pPr>
              <w:tabs>
                <w:tab w:val="left" w:pos="567"/>
              </w:tabs>
              <w:jc w:val="center"/>
            </w:pPr>
            <w:r w:rsidRPr="00D51872">
              <w:t>263</w:t>
            </w:r>
            <w:r w:rsidR="00921BFB" w:rsidRPr="00D51872">
              <w:t>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63" w:rsidRPr="00D51872" w:rsidRDefault="00921BFB">
            <w:pPr>
              <w:tabs>
                <w:tab w:val="left" w:pos="567"/>
              </w:tabs>
              <w:jc w:val="center"/>
            </w:pPr>
            <w:r w:rsidRPr="00D51872">
              <w:t>279,0</w:t>
            </w:r>
          </w:p>
        </w:tc>
      </w:tr>
    </w:tbl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Сумма налога, не поступившая в бюджет города в связи с предоставлением налогоплательщикам льгот по налогу на и</w:t>
      </w:r>
      <w:r w:rsidR="00921BFB" w:rsidRPr="00D51872">
        <w:t>мущество физических лиц, за 2012</w:t>
      </w:r>
      <w:r w:rsidR="00630DB9" w:rsidRPr="00D51872">
        <w:t xml:space="preserve"> год составила 263</w:t>
      </w:r>
      <w:r w:rsidRPr="00D51872">
        <w:t>,0 тыс. рублей, или 11,3 % от общей суммы налогов</w:t>
      </w:r>
      <w:r w:rsidR="00921BFB" w:rsidRPr="00D51872">
        <w:t>ых льгот, предоставленных в 2012</w:t>
      </w:r>
      <w:r w:rsidRPr="00D51872">
        <w:t xml:space="preserve"> году. При этом по сравнению с 2011 годом сумма предоставленных налоговых льгот по д</w:t>
      </w:r>
      <w:r w:rsidR="00921BFB" w:rsidRPr="00D51872">
        <w:t>анному налогу увеличилась на</w:t>
      </w:r>
      <w:r w:rsidR="00630DB9" w:rsidRPr="00D51872">
        <w:t xml:space="preserve"> 7</w:t>
      </w:r>
      <w:r w:rsidRPr="00D51872">
        <w:t>,0 рублей.</w:t>
      </w:r>
    </w:p>
    <w:p w:rsidR="00090799" w:rsidRPr="00D51872" w:rsidRDefault="00090799" w:rsidP="00C30163">
      <w:pPr>
        <w:tabs>
          <w:tab w:val="left" w:pos="567"/>
        </w:tabs>
        <w:ind w:firstLine="709"/>
        <w:jc w:val="both"/>
      </w:pPr>
      <w:r w:rsidRPr="00D51872">
        <w:lastRenderedPageBreak/>
        <w:t xml:space="preserve">Целью установления данной налоговой льготы является создание благоприятных условий для граждан поселения. В связи с чем, показатель экономической эффективности использования данной налоговой льготы равен величине потерь бюджета </w:t>
      </w:r>
      <w:proofErr w:type="spellStart"/>
      <w:r w:rsidRPr="00D51872">
        <w:t>Салаирского</w:t>
      </w:r>
      <w:proofErr w:type="spellEnd"/>
      <w:r w:rsidRPr="00D51872">
        <w:t xml:space="preserve"> городского поселения обусловленных её применением, что свидетельствует о её эффективности.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  <w:r w:rsidRPr="00D51872">
        <w:t>Таким образом, предоставленные налоговые преференции укрепляют налоговый потенциал города, а также способствуют росту социальной защищенно</w:t>
      </w:r>
      <w:r w:rsidR="00630DB9" w:rsidRPr="00D51872">
        <w:t>сти отдельных категорий граждан и влияет на повышение уровня жизни населения (поддержка малообеспеченных и социально незащищённых категорий граждан, повышение покупательской способности граждан), на поддержку осуществления деятельности органов местного самоуправления.</w:t>
      </w:r>
    </w:p>
    <w:p w:rsidR="00630DB9" w:rsidRPr="00D51872" w:rsidRDefault="00630DB9" w:rsidP="00C30163">
      <w:pPr>
        <w:tabs>
          <w:tab w:val="left" w:pos="567"/>
        </w:tabs>
        <w:ind w:firstLine="709"/>
        <w:jc w:val="both"/>
      </w:pPr>
      <w:r w:rsidRPr="00D51872">
        <w:t xml:space="preserve">В связи с тем, что бюджетная и налоговая политика </w:t>
      </w:r>
      <w:proofErr w:type="spellStart"/>
      <w:r w:rsidRPr="00D51872">
        <w:t>Салаирского</w:t>
      </w:r>
      <w:proofErr w:type="spellEnd"/>
      <w:r w:rsidRPr="00D51872">
        <w:t xml:space="preserve"> городского поселения направлена на социальную поддержку населения и формирование благоприятных условий жизнедеятельности населения города, все имеющиеся льготы по местным налогам будут сохранены и в 2015 году.</w:t>
      </w: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</w:p>
    <w:p w:rsidR="00C30163" w:rsidRPr="00D51872" w:rsidRDefault="00C30163" w:rsidP="00C30163">
      <w:pPr>
        <w:tabs>
          <w:tab w:val="left" w:pos="567"/>
        </w:tabs>
        <w:ind w:firstLine="709"/>
        <w:jc w:val="both"/>
      </w:pPr>
    </w:p>
    <w:p w:rsidR="00C30163" w:rsidRPr="00D51872" w:rsidRDefault="00C30163" w:rsidP="00C30163">
      <w:r w:rsidRPr="00D51872">
        <w:t>Н</w:t>
      </w:r>
      <w:r w:rsidR="00630DB9" w:rsidRPr="00D51872">
        <w:t xml:space="preserve">ачальник экономического </w:t>
      </w:r>
      <w:proofErr w:type="gramStart"/>
      <w:r w:rsidR="00630DB9" w:rsidRPr="00D51872">
        <w:t>отдела:</w:t>
      </w:r>
      <w:r w:rsidRPr="00D51872">
        <w:t xml:space="preserve">   </w:t>
      </w:r>
      <w:proofErr w:type="gramEnd"/>
      <w:r w:rsidRPr="00D51872">
        <w:t xml:space="preserve">      </w:t>
      </w:r>
      <w:r w:rsidR="00630DB9" w:rsidRPr="00D51872">
        <w:t xml:space="preserve">                                Е.А. Кузнецова</w:t>
      </w:r>
      <w:r w:rsidRPr="00D51872">
        <w:t xml:space="preserve">                                                                       </w:t>
      </w:r>
    </w:p>
    <w:p w:rsidR="0077771D" w:rsidRPr="00D51872" w:rsidRDefault="0077771D"/>
    <w:sectPr w:rsidR="0077771D" w:rsidRPr="00D5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4F"/>
    <w:rsid w:val="00090799"/>
    <w:rsid w:val="001614A4"/>
    <w:rsid w:val="00225E35"/>
    <w:rsid w:val="00247A75"/>
    <w:rsid w:val="003606AC"/>
    <w:rsid w:val="003F0577"/>
    <w:rsid w:val="00403AF3"/>
    <w:rsid w:val="00474D8F"/>
    <w:rsid w:val="00554289"/>
    <w:rsid w:val="0060290D"/>
    <w:rsid w:val="00630DB9"/>
    <w:rsid w:val="00641ACD"/>
    <w:rsid w:val="0068114E"/>
    <w:rsid w:val="0069334B"/>
    <w:rsid w:val="0077771D"/>
    <w:rsid w:val="008700EF"/>
    <w:rsid w:val="008B154F"/>
    <w:rsid w:val="00921BFB"/>
    <w:rsid w:val="00A02A0C"/>
    <w:rsid w:val="00A13F74"/>
    <w:rsid w:val="00A256A9"/>
    <w:rsid w:val="00B15CCC"/>
    <w:rsid w:val="00C24456"/>
    <w:rsid w:val="00C30163"/>
    <w:rsid w:val="00CF7ED5"/>
    <w:rsid w:val="00D51872"/>
    <w:rsid w:val="00DC72EC"/>
    <w:rsid w:val="00ED133A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E8DB-DC97-4921-9011-BE1C66F3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A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800200.395/" TargetMode="External"/><Relationship Id="rId4" Type="http://schemas.openxmlformats.org/officeDocument/2006/relationships/hyperlink" Target="garantf1://10003120.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10</cp:revision>
  <cp:lastPrinted>2015-04-08T02:05:00Z</cp:lastPrinted>
  <dcterms:created xsi:type="dcterms:W3CDTF">2015-03-27T02:50:00Z</dcterms:created>
  <dcterms:modified xsi:type="dcterms:W3CDTF">2015-04-08T02:07:00Z</dcterms:modified>
</cp:coreProperties>
</file>